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6AA" w:rsidRDefault="006566AA" w:rsidP="006566AA">
      <w:pPr>
        <w:spacing w:line="480" w:lineRule="auto"/>
        <w:rPr>
          <w:rFonts w:ascii="Arial" w:hAnsi="Arial" w:cs="Arial"/>
          <w:b/>
          <w:lang w:val="en-US"/>
        </w:rPr>
      </w:pPr>
      <w:bookmarkStart w:id="0" w:name="_GoBack"/>
      <w:bookmarkEnd w:id="0"/>
      <w:r>
        <w:rPr>
          <w:rFonts w:ascii="Arial" w:hAnsi="Arial" w:cs="Arial"/>
          <w:b/>
          <w:lang w:val="en-US"/>
        </w:rPr>
        <w:t xml:space="preserve">Li et al. (Alzheimer’s Research and Therapy) </w:t>
      </w:r>
    </w:p>
    <w:p w:rsidR="006566AA" w:rsidRDefault="006566AA" w:rsidP="006566AA">
      <w:pPr>
        <w:spacing w:line="480" w:lineRule="auto"/>
        <w:rPr>
          <w:rFonts w:ascii="Arial" w:hAnsi="Arial" w:cs="Arial"/>
          <w:b/>
          <w:lang w:val="en-US"/>
        </w:rPr>
      </w:pPr>
    </w:p>
    <w:p w:rsidR="006566AA" w:rsidRDefault="006566AA" w:rsidP="006566AA">
      <w:pPr>
        <w:spacing w:line="48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Additional Information:</w:t>
      </w:r>
    </w:p>
    <w:p w:rsidR="00BF2E16" w:rsidRDefault="00BF2E16" w:rsidP="006566AA">
      <w:pPr>
        <w:spacing w:line="480" w:lineRule="auto"/>
        <w:rPr>
          <w:rFonts w:ascii="Arial" w:hAnsi="Arial" w:cs="Arial"/>
          <w:b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499"/>
      </w:tblGrid>
      <w:tr w:rsidR="006566AA" w:rsidTr="006566AA">
        <w:tc>
          <w:tcPr>
            <w:tcW w:w="1555" w:type="dxa"/>
          </w:tcPr>
          <w:p w:rsidR="006566AA" w:rsidRDefault="006566AA" w:rsidP="006566AA">
            <w:pPr>
              <w:spacing w:line="480" w:lineRule="auto"/>
              <w:rPr>
                <w:rFonts w:ascii="Arial" w:hAnsi="Arial" w:cs="Arial"/>
                <w:b/>
                <w:lang w:val="en"/>
              </w:rPr>
            </w:pPr>
            <w:r>
              <w:rPr>
                <w:rFonts w:ascii="Arial" w:hAnsi="Arial" w:cs="Arial"/>
                <w:b/>
                <w:lang w:val="en"/>
              </w:rPr>
              <w:t>Table S1</w:t>
            </w:r>
          </w:p>
        </w:tc>
        <w:tc>
          <w:tcPr>
            <w:tcW w:w="7499" w:type="dxa"/>
          </w:tcPr>
          <w:p w:rsidR="006566AA" w:rsidRDefault="006566AA" w:rsidP="006566AA">
            <w:pPr>
              <w:spacing w:line="276" w:lineRule="auto"/>
              <w:rPr>
                <w:rFonts w:ascii="Arial" w:hAnsi="Arial" w:cs="Arial"/>
                <w:b/>
                <w:lang w:val="en"/>
              </w:rPr>
            </w:pPr>
            <w:r w:rsidRPr="009D73C7">
              <w:rPr>
                <w:rFonts w:ascii="Arial" w:hAnsi="Arial" w:cs="Arial"/>
                <w:lang w:val="en"/>
              </w:rPr>
              <w:t>PET Scanners – Technical parameters</w:t>
            </w:r>
          </w:p>
        </w:tc>
      </w:tr>
      <w:tr w:rsidR="006566AA" w:rsidTr="00E52DAF">
        <w:trPr>
          <w:trHeight w:val="776"/>
        </w:trPr>
        <w:tc>
          <w:tcPr>
            <w:tcW w:w="1555" w:type="dxa"/>
          </w:tcPr>
          <w:p w:rsidR="006566AA" w:rsidRDefault="006566AA" w:rsidP="006566AA">
            <w:pPr>
              <w:spacing w:line="480" w:lineRule="auto"/>
              <w:rPr>
                <w:rFonts w:ascii="Arial" w:hAnsi="Arial" w:cs="Arial"/>
                <w:b/>
                <w:lang w:val="en"/>
              </w:rPr>
            </w:pPr>
            <w:r>
              <w:rPr>
                <w:rFonts w:ascii="Arial" w:hAnsi="Arial" w:cs="Arial"/>
                <w:b/>
                <w:lang w:val="en"/>
              </w:rPr>
              <w:t>Figure S1</w:t>
            </w:r>
          </w:p>
        </w:tc>
        <w:tc>
          <w:tcPr>
            <w:tcW w:w="7499" w:type="dxa"/>
          </w:tcPr>
          <w:p w:rsidR="006566AA" w:rsidRDefault="006566AA" w:rsidP="006566AA">
            <w:pPr>
              <w:spacing w:line="276" w:lineRule="auto"/>
              <w:rPr>
                <w:rFonts w:ascii="Arial" w:hAnsi="Arial" w:cs="Arial"/>
                <w:b/>
                <w:lang w:val="en"/>
              </w:rPr>
            </w:pPr>
            <w:r w:rsidRPr="009D73C7">
              <w:rPr>
                <w:rStyle w:val="None"/>
                <w:rFonts w:ascii="Arial" w:hAnsi="Arial" w:cs="Arial"/>
                <w:lang w:val="en-US"/>
              </w:rPr>
              <w:t xml:space="preserve">Brain regions showing increased ReHo in </w:t>
            </w:r>
            <w:r w:rsidRPr="009D73C7">
              <w:rPr>
                <w:rFonts w:ascii="Arial" w:hAnsi="Arial" w:cs="Arial"/>
                <w:lang w:val="en-US"/>
              </w:rPr>
              <w:t>SCD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 xml:space="preserve">Aß+ </w:t>
            </w:r>
            <w:r w:rsidRPr="009D73C7">
              <w:rPr>
                <w:rFonts w:ascii="Arial" w:hAnsi="Arial" w:cs="Arial"/>
                <w:lang w:val="en-US"/>
              </w:rPr>
              <w:t>compared to SCD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 xml:space="preserve">Aß- </w:t>
            </w:r>
            <w:r w:rsidRPr="009D73C7">
              <w:rPr>
                <w:rFonts w:ascii="Arial" w:hAnsi="Arial" w:cs="Arial"/>
                <w:lang w:val="en-US"/>
              </w:rPr>
              <w:t>with MR scanners and APOE status as additional covariates</w:t>
            </w:r>
          </w:p>
        </w:tc>
      </w:tr>
      <w:tr w:rsidR="006566AA" w:rsidTr="006566AA">
        <w:tc>
          <w:tcPr>
            <w:tcW w:w="1555" w:type="dxa"/>
          </w:tcPr>
          <w:p w:rsidR="006566AA" w:rsidRDefault="006566AA" w:rsidP="006566AA">
            <w:pPr>
              <w:spacing w:line="480" w:lineRule="auto"/>
              <w:rPr>
                <w:rFonts w:ascii="Arial" w:hAnsi="Arial" w:cs="Arial"/>
                <w:b/>
                <w:lang w:val="en"/>
              </w:rPr>
            </w:pPr>
            <w:r>
              <w:rPr>
                <w:rFonts w:ascii="Arial" w:hAnsi="Arial" w:cs="Arial"/>
                <w:b/>
                <w:lang w:val="en"/>
              </w:rPr>
              <w:t>Figure S2</w:t>
            </w:r>
          </w:p>
        </w:tc>
        <w:tc>
          <w:tcPr>
            <w:tcW w:w="7499" w:type="dxa"/>
          </w:tcPr>
          <w:p w:rsidR="006566AA" w:rsidRPr="006566AA" w:rsidRDefault="006566AA" w:rsidP="006566AA">
            <w:pPr>
              <w:spacing w:line="276" w:lineRule="auto"/>
              <w:rPr>
                <w:rFonts w:ascii="Arial" w:hAnsi="Arial" w:cs="Arial"/>
                <w:b/>
                <w:lang w:val="en-US"/>
              </w:rPr>
            </w:pPr>
            <w:r w:rsidRPr="009D73C7">
              <w:rPr>
                <w:rStyle w:val="None"/>
                <w:rFonts w:ascii="Arial" w:hAnsi="Arial" w:cs="Arial"/>
                <w:lang w:val="en-US"/>
              </w:rPr>
              <w:t xml:space="preserve">Brain regions showing increased precuneus-based FC in </w:t>
            </w:r>
            <w:r w:rsidRPr="009D73C7">
              <w:rPr>
                <w:rFonts w:ascii="Arial" w:hAnsi="Arial" w:cs="Arial"/>
                <w:lang w:val="en-US"/>
              </w:rPr>
              <w:t>SCD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>A</w:t>
            </w:r>
            <w:r w:rsidRPr="009D73C7">
              <w:rPr>
                <w:rFonts w:ascii="Arial" w:hAnsi="Arial" w:cs="Arial"/>
                <w:vertAlign w:val="subscript"/>
              </w:rPr>
              <w:t>β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>+</w:t>
            </w:r>
            <w:r w:rsidRPr="009D73C7">
              <w:rPr>
                <w:rStyle w:val="None"/>
                <w:rFonts w:ascii="Arial" w:hAnsi="Arial" w:cs="Arial"/>
                <w:lang w:val="en-US"/>
              </w:rPr>
              <w:t xml:space="preserve"> compared to SCD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 xml:space="preserve"> A</w:t>
            </w:r>
            <w:r w:rsidRPr="009D73C7">
              <w:rPr>
                <w:rFonts w:ascii="Arial" w:hAnsi="Arial" w:cs="Arial"/>
                <w:vertAlign w:val="subscript"/>
              </w:rPr>
              <w:t>β</w:t>
            </w:r>
            <w:r w:rsidRPr="009D73C7">
              <w:rPr>
                <w:rFonts w:ascii="Arial" w:hAnsi="Arial" w:cs="Arial"/>
                <w:vertAlign w:val="subscript"/>
                <w:lang w:val="en-US"/>
              </w:rPr>
              <w:t xml:space="preserve">- </w:t>
            </w:r>
            <w:r w:rsidRPr="009D73C7">
              <w:rPr>
                <w:rStyle w:val="None"/>
                <w:rFonts w:ascii="Arial" w:hAnsi="Arial" w:cs="Arial"/>
                <w:lang w:val="en-US"/>
              </w:rPr>
              <w:t xml:space="preserve">based on voxel-wise FC, </w:t>
            </w:r>
            <w:r w:rsidRPr="009D73C7">
              <w:rPr>
                <w:rFonts w:ascii="Arial" w:hAnsi="Arial" w:cs="Arial"/>
                <w:lang w:val="en-US"/>
              </w:rPr>
              <w:t>with MRI scanner covariates only</w:t>
            </w:r>
          </w:p>
        </w:tc>
      </w:tr>
    </w:tbl>
    <w:p w:rsidR="006566AA" w:rsidRDefault="006566AA" w:rsidP="006566AA">
      <w:pPr>
        <w:spacing w:line="480" w:lineRule="auto"/>
        <w:rPr>
          <w:rFonts w:ascii="Arial" w:hAnsi="Arial" w:cs="Arial"/>
          <w:b/>
          <w:lang w:val="en"/>
        </w:rPr>
      </w:pPr>
    </w:p>
    <w:p w:rsidR="006566AA" w:rsidRDefault="006566AA" w:rsidP="006566AA">
      <w:pPr>
        <w:spacing w:line="480" w:lineRule="auto"/>
        <w:rPr>
          <w:rFonts w:ascii="Arial" w:hAnsi="Arial" w:cs="Arial"/>
          <w:b/>
          <w:lang w:val="en-US"/>
        </w:rPr>
      </w:pPr>
    </w:p>
    <w:p w:rsidR="006566AA" w:rsidRPr="009D73C7" w:rsidRDefault="006566AA" w:rsidP="006566AA">
      <w:pPr>
        <w:spacing w:line="480" w:lineRule="auto"/>
        <w:rPr>
          <w:rFonts w:ascii="Arial" w:hAnsi="Arial" w:cs="Arial"/>
          <w:b/>
          <w:lang w:val="en-US"/>
        </w:rPr>
      </w:pPr>
    </w:p>
    <w:p w:rsidR="00BF2E16" w:rsidRDefault="00BF2E16">
      <w:pPr>
        <w:rPr>
          <w:rFonts w:ascii="Arial" w:hAnsi="Arial" w:cs="Arial"/>
          <w:b/>
          <w:lang w:val="en"/>
        </w:rPr>
      </w:pPr>
      <w:r>
        <w:rPr>
          <w:rFonts w:ascii="Arial" w:hAnsi="Arial" w:cs="Arial"/>
          <w:b/>
          <w:lang w:val="en"/>
        </w:rPr>
        <w:br w:type="page"/>
      </w:r>
    </w:p>
    <w:p w:rsidR="006566AA" w:rsidRPr="007B033B" w:rsidRDefault="006566AA" w:rsidP="006566AA">
      <w:pPr>
        <w:spacing w:line="480" w:lineRule="auto"/>
        <w:rPr>
          <w:rFonts w:ascii="Arial" w:hAnsi="Arial" w:cs="Arial"/>
          <w:b/>
          <w:lang w:val="en"/>
        </w:rPr>
      </w:pPr>
      <w:r w:rsidRPr="007B033B">
        <w:rPr>
          <w:rFonts w:ascii="Arial" w:hAnsi="Arial" w:cs="Arial"/>
          <w:b/>
          <w:lang w:val="en"/>
        </w:rPr>
        <w:lastRenderedPageBreak/>
        <w:t>Table S1. PET Scanners – Technical parameters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2"/>
        <w:gridCol w:w="1285"/>
        <w:gridCol w:w="1276"/>
        <w:gridCol w:w="3260"/>
        <w:gridCol w:w="1971"/>
      </w:tblGrid>
      <w:tr w:rsidR="006566AA" w:rsidRPr="007B033B" w:rsidTr="00360590">
        <w:trPr>
          <w:trHeight w:val="423"/>
        </w:trPr>
        <w:tc>
          <w:tcPr>
            <w:tcW w:w="1262" w:type="dxa"/>
            <w:vAlign w:val="center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Site</w:t>
            </w:r>
          </w:p>
        </w:tc>
        <w:tc>
          <w:tcPr>
            <w:tcW w:w="1285" w:type="dxa"/>
            <w:vAlign w:val="center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N</w:t>
            </w:r>
            <w:r w:rsidR="00360590">
              <w:rPr>
                <w:rFonts w:ascii="Arial" w:hAnsi="Arial" w:cs="Arial"/>
              </w:rPr>
              <w:t xml:space="preserve"> </w:t>
            </w:r>
            <w:r w:rsidRPr="007B033B">
              <w:rPr>
                <w:rFonts w:ascii="Arial" w:hAnsi="Arial" w:cs="Arial"/>
              </w:rPr>
              <w:t>(subjects)</w:t>
            </w:r>
          </w:p>
        </w:tc>
        <w:tc>
          <w:tcPr>
            <w:tcW w:w="1276" w:type="dxa"/>
            <w:vAlign w:val="center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Modality</w:t>
            </w:r>
          </w:p>
        </w:tc>
        <w:tc>
          <w:tcPr>
            <w:tcW w:w="3260" w:type="dxa"/>
            <w:vAlign w:val="center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Scanner</w:t>
            </w:r>
          </w:p>
        </w:tc>
        <w:tc>
          <w:tcPr>
            <w:tcW w:w="1971" w:type="dxa"/>
            <w:vAlign w:val="center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Reconstruction algorithm</w:t>
            </w:r>
          </w:p>
        </w:tc>
      </w:tr>
      <w:tr w:rsidR="006566AA" w:rsidRPr="007B033B" w:rsidTr="00360590"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Berlin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25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PET/CT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Philips Gemini TF 16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LOR-3D-RAMLA 3i33s</w:t>
            </w:r>
          </w:p>
        </w:tc>
      </w:tr>
      <w:tr w:rsidR="006566AA" w:rsidRPr="007B033B" w:rsidTr="00360590"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Bonn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3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PET/CT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Siemens Biograph 2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2D-OSEM 4i16s</w:t>
            </w:r>
          </w:p>
        </w:tc>
      </w:tr>
      <w:tr w:rsidR="006566AA" w:rsidRPr="007B033B" w:rsidTr="00360590"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Cologne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2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PET/CT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Siemens Biograph 128 mCT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3D-OSEM 4i12s</w:t>
            </w:r>
          </w:p>
        </w:tc>
      </w:tr>
      <w:tr w:rsidR="006566AA" w:rsidRPr="007B033B" w:rsidTr="00360590">
        <w:trPr>
          <w:trHeight w:val="453"/>
        </w:trPr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Munich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10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PET/CT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GE Discovery 690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VPHD 5i36s</w:t>
            </w:r>
          </w:p>
        </w:tc>
      </w:tr>
      <w:tr w:rsidR="006566AA" w:rsidRPr="007B033B" w:rsidTr="00360590"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Rostock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7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PET/CT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Philips Gemini TF 16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LOR-3D-RAMLA 3i33s</w:t>
            </w:r>
          </w:p>
        </w:tc>
      </w:tr>
      <w:tr w:rsidR="006566AA" w:rsidRPr="007B033B" w:rsidTr="00360590">
        <w:tc>
          <w:tcPr>
            <w:tcW w:w="1262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Tübingen</w:t>
            </w:r>
          </w:p>
        </w:tc>
        <w:tc>
          <w:tcPr>
            <w:tcW w:w="1285" w:type="dxa"/>
          </w:tcPr>
          <w:p w:rsidR="006566AA" w:rsidRPr="007B033B" w:rsidRDefault="006566AA" w:rsidP="00360590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1</w:t>
            </w:r>
          </w:p>
        </w:tc>
        <w:tc>
          <w:tcPr>
            <w:tcW w:w="1276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PET/MR</w:t>
            </w:r>
          </w:p>
        </w:tc>
        <w:tc>
          <w:tcPr>
            <w:tcW w:w="3260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Siemens Biograph mMR</w:t>
            </w:r>
          </w:p>
        </w:tc>
        <w:tc>
          <w:tcPr>
            <w:tcW w:w="1971" w:type="dxa"/>
          </w:tcPr>
          <w:p w:rsidR="006566AA" w:rsidRPr="007B033B" w:rsidRDefault="006566AA" w:rsidP="00360590">
            <w:pPr>
              <w:spacing w:before="120" w:after="120"/>
              <w:rPr>
                <w:rFonts w:ascii="Arial" w:hAnsi="Arial" w:cs="Arial"/>
              </w:rPr>
            </w:pPr>
            <w:r w:rsidRPr="007B033B">
              <w:rPr>
                <w:rFonts w:ascii="Arial" w:hAnsi="Arial" w:cs="Arial"/>
              </w:rPr>
              <w:t>OP-OSEM 4i21s</w:t>
            </w:r>
          </w:p>
        </w:tc>
      </w:tr>
    </w:tbl>
    <w:p w:rsidR="006566AA" w:rsidRPr="007B033B" w:rsidRDefault="006566AA" w:rsidP="006566AA">
      <w:pPr>
        <w:rPr>
          <w:rFonts w:ascii="Arial" w:hAnsi="Arial" w:cs="Arial"/>
        </w:rPr>
      </w:pPr>
    </w:p>
    <w:p w:rsidR="006566AA" w:rsidRPr="007B033B" w:rsidRDefault="006566AA" w:rsidP="006566AA">
      <w:pPr>
        <w:rPr>
          <w:rFonts w:ascii="Arial" w:hAnsi="Arial" w:cs="Arial"/>
        </w:rPr>
      </w:pPr>
    </w:p>
    <w:p w:rsidR="006566AA" w:rsidRDefault="006566AA" w:rsidP="006566AA">
      <w:pPr>
        <w:spacing w:line="360" w:lineRule="auto"/>
        <w:rPr>
          <w:rFonts w:ascii="Arial" w:hAnsi="Arial" w:cs="Arial"/>
          <w:b/>
          <w:lang w:val="en"/>
        </w:rPr>
      </w:pPr>
    </w:p>
    <w:p w:rsidR="006566AA" w:rsidRDefault="006566AA" w:rsidP="006566AA">
      <w:pPr>
        <w:spacing w:line="360" w:lineRule="auto"/>
        <w:rPr>
          <w:rFonts w:ascii="Arial" w:hAnsi="Arial" w:cs="Arial"/>
          <w:b/>
          <w:lang w:val="en"/>
        </w:rPr>
      </w:pPr>
    </w:p>
    <w:p w:rsidR="006566AA" w:rsidRDefault="006566AA" w:rsidP="006566AA">
      <w:pPr>
        <w:spacing w:line="360" w:lineRule="auto"/>
        <w:rPr>
          <w:rFonts w:ascii="Arial" w:hAnsi="Arial" w:cs="Arial"/>
          <w:b/>
          <w:lang w:val="en"/>
        </w:rPr>
      </w:pPr>
    </w:p>
    <w:p w:rsidR="006566AA" w:rsidRDefault="006566AA">
      <w:pPr>
        <w:rPr>
          <w:rFonts w:ascii="Arial" w:hAnsi="Arial" w:cs="Arial"/>
          <w:b/>
          <w:lang w:val="en"/>
        </w:rPr>
      </w:pPr>
      <w:r>
        <w:rPr>
          <w:rFonts w:ascii="Arial" w:hAnsi="Arial" w:cs="Arial"/>
          <w:b/>
          <w:lang w:val="en"/>
        </w:rPr>
        <w:br w:type="page"/>
      </w:r>
    </w:p>
    <w:p w:rsidR="006566AA" w:rsidRPr="007B033B" w:rsidRDefault="006566AA" w:rsidP="006566AA">
      <w:pPr>
        <w:spacing w:line="36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"/>
        </w:rPr>
        <w:t>Figure S1</w:t>
      </w:r>
      <w:r w:rsidRPr="007B033B">
        <w:rPr>
          <w:rFonts w:ascii="Arial" w:hAnsi="Arial" w:cs="Arial"/>
          <w:b/>
          <w:lang w:val="en"/>
        </w:rPr>
        <w:t xml:space="preserve">. </w:t>
      </w:r>
      <w:r w:rsidRPr="009D73C7">
        <w:rPr>
          <w:rStyle w:val="None"/>
          <w:rFonts w:ascii="Arial" w:hAnsi="Arial" w:cs="Arial"/>
          <w:b/>
          <w:lang w:val="en-US"/>
        </w:rPr>
        <w:t xml:space="preserve">Brain regions showing increased ReHo in </w:t>
      </w:r>
      <w:r w:rsidRPr="009D73C7">
        <w:rPr>
          <w:rFonts w:ascii="Arial" w:hAnsi="Arial" w:cs="Arial"/>
          <w:b/>
          <w:lang w:val="en-US"/>
        </w:rPr>
        <w:t>SCD</w:t>
      </w:r>
      <w:r w:rsidRPr="009D73C7">
        <w:rPr>
          <w:rFonts w:ascii="Arial" w:hAnsi="Arial" w:cs="Arial"/>
          <w:b/>
          <w:vertAlign w:val="subscript"/>
          <w:lang w:val="en-US"/>
        </w:rPr>
        <w:t xml:space="preserve">Aß+ </w:t>
      </w:r>
      <w:r w:rsidRPr="009D73C7">
        <w:rPr>
          <w:rFonts w:ascii="Arial" w:hAnsi="Arial" w:cs="Arial"/>
          <w:b/>
          <w:lang w:val="en-US"/>
        </w:rPr>
        <w:t>compared</w:t>
      </w:r>
      <w:r w:rsidRPr="007B033B">
        <w:rPr>
          <w:rFonts w:ascii="Arial" w:hAnsi="Arial" w:cs="Arial"/>
          <w:b/>
          <w:lang w:val="en-US"/>
        </w:rPr>
        <w:t xml:space="preserve"> to SCD</w:t>
      </w:r>
      <w:r w:rsidRPr="007B033B">
        <w:rPr>
          <w:rFonts w:ascii="Arial" w:hAnsi="Arial" w:cs="Arial"/>
          <w:b/>
          <w:vertAlign w:val="subscript"/>
          <w:lang w:val="en-US"/>
        </w:rPr>
        <w:t xml:space="preserve">Aß- </w:t>
      </w:r>
      <w:r>
        <w:rPr>
          <w:rFonts w:ascii="Arial" w:hAnsi="Arial" w:cs="Arial"/>
          <w:b/>
          <w:lang w:val="en-US"/>
        </w:rPr>
        <w:t>with MR scanners and APOE status</w:t>
      </w:r>
      <w:r w:rsidRPr="007B033B">
        <w:rPr>
          <w:rFonts w:ascii="Arial" w:hAnsi="Arial" w:cs="Arial"/>
          <w:b/>
          <w:lang w:val="en-US"/>
        </w:rPr>
        <w:t xml:space="preserve"> as</w:t>
      </w:r>
      <w:r>
        <w:rPr>
          <w:rFonts w:ascii="Arial" w:hAnsi="Arial" w:cs="Arial"/>
          <w:b/>
          <w:lang w:val="en-US"/>
        </w:rPr>
        <w:t xml:space="preserve"> </w:t>
      </w:r>
      <w:r w:rsidRPr="007B033B">
        <w:rPr>
          <w:rFonts w:ascii="Arial" w:hAnsi="Arial" w:cs="Arial"/>
          <w:b/>
          <w:lang w:val="en-US"/>
        </w:rPr>
        <w:t>additional covariate</w:t>
      </w:r>
      <w:r>
        <w:rPr>
          <w:rFonts w:ascii="Arial" w:hAnsi="Arial" w:cs="Arial"/>
          <w:b/>
          <w:lang w:val="en-US"/>
        </w:rPr>
        <w:t>s</w:t>
      </w:r>
    </w:p>
    <w:p w:rsidR="006566AA" w:rsidRPr="007B033B" w:rsidRDefault="006566AA" w:rsidP="006566AA">
      <w:pPr>
        <w:spacing w:line="480" w:lineRule="auto"/>
        <w:jc w:val="center"/>
        <w:rPr>
          <w:rFonts w:ascii="Arial" w:hAnsi="Arial" w:cs="Arial"/>
          <w:b/>
          <w:lang w:val="en"/>
        </w:rPr>
      </w:pPr>
      <w:r>
        <w:rPr>
          <w:rFonts w:ascii="Arial" w:hAnsi="Arial" w:cs="Arial"/>
          <w:b/>
          <w:noProof/>
          <w:lang w:val="en-US" w:eastAsia="en-US"/>
        </w:rPr>
        <w:drawing>
          <wp:inline distT="0" distB="0" distL="0" distR="0" wp14:anchorId="7D634BE7" wp14:editId="6563E908">
            <wp:extent cx="5747978" cy="2179320"/>
            <wp:effectExtent l="0" t="0" r="5715" b="5080"/>
            <wp:docPr id="2" name="Picture 2" descr="U:\DZNE\DELCODE_PET\Manuscript\Manuscript\ReHo_Scanner_APOE_Covariate_Marcel_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:\DZNE\DELCODE_PET\Manuscript\Manuscript\ReHo_Scanner_APOE_Covariate_Marcel_NEW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413" cy="2216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6AA" w:rsidRPr="007B033B" w:rsidRDefault="006566AA" w:rsidP="006566AA">
      <w:pPr>
        <w:pStyle w:val="Body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/>
        <w:rPr>
          <w:rFonts w:ascii="Arial" w:hAnsi="Arial" w:cs="Arial"/>
          <w:b/>
          <w:sz w:val="24"/>
          <w:szCs w:val="24"/>
        </w:rPr>
      </w:pPr>
      <w:r w:rsidRPr="007B033B">
        <w:rPr>
          <w:rFonts w:ascii="Arial" w:hAnsi="Arial" w:cs="Arial"/>
          <w:sz w:val="24"/>
          <w:szCs w:val="24"/>
        </w:rPr>
        <w:t>The figure shows regions with significant increased ReHo value in</w:t>
      </w:r>
      <w:r>
        <w:rPr>
          <w:rFonts w:ascii="Arial" w:hAnsi="Arial" w:cs="Arial"/>
          <w:sz w:val="24"/>
          <w:szCs w:val="24"/>
        </w:rPr>
        <w:t xml:space="preserve"> amyloid-positive</w:t>
      </w:r>
      <w:r w:rsidRPr="007B033B">
        <w:rPr>
          <w:rFonts w:ascii="Arial" w:hAnsi="Arial" w:cs="Arial"/>
          <w:vertAlign w:val="subscript"/>
        </w:rPr>
        <w:t xml:space="preserve"> </w:t>
      </w:r>
      <w:r w:rsidRPr="007B033B">
        <w:rPr>
          <w:rFonts w:ascii="Arial" w:hAnsi="Arial" w:cs="Arial"/>
          <w:sz w:val="24"/>
          <w:szCs w:val="24"/>
        </w:rPr>
        <w:t xml:space="preserve">compared to </w:t>
      </w:r>
      <w:r w:rsidRPr="007B033B">
        <w:rPr>
          <w:rStyle w:val="None"/>
          <w:rFonts w:ascii="Arial" w:hAnsi="Arial" w:cs="Arial"/>
          <w:sz w:val="24"/>
          <w:szCs w:val="24"/>
        </w:rPr>
        <w:t>amyloid</w:t>
      </w:r>
      <w:r>
        <w:rPr>
          <w:rStyle w:val="None"/>
          <w:rFonts w:ascii="Arial" w:hAnsi="Arial" w:cs="Arial"/>
          <w:sz w:val="24"/>
          <w:szCs w:val="24"/>
        </w:rPr>
        <w:t>-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negative </w:t>
      </w:r>
      <w:r>
        <w:rPr>
          <w:rStyle w:val="None"/>
          <w:rFonts w:ascii="Arial" w:hAnsi="Arial" w:cs="Arial"/>
          <w:sz w:val="24"/>
          <w:szCs w:val="24"/>
        </w:rPr>
        <w:t>group in a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 two-sample t</w:t>
      </w:r>
      <w:r>
        <w:rPr>
          <w:rStyle w:val="None"/>
          <w:rFonts w:ascii="Arial" w:hAnsi="Arial" w:cs="Arial"/>
          <w:sz w:val="24"/>
          <w:szCs w:val="24"/>
        </w:rPr>
        <w:t>-</w:t>
      </w:r>
      <w:r w:rsidRPr="007B033B">
        <w:rPr>
          <w:rStyle w:val="None"/>
          <w:rFonts w:ascii="Arial" w:hAnsi="Arial" w:cs="Arial"/>
          <w:sz w:val="24"/>
          <w:szCs w:val="24"/>
        </w:rPr>
        <w:t>test with</w:t>
      </w:r>
      <w:r>
        <w:rPr>
          <w:rStyle w:val="None"/>
          <w:rFonts w:ascii="Arial" w:hAnsi="Arial" w:cs="Arial"/>
          <w:sz w:val="24"/>
          <w:szCs w:val="24"/>
        </w:rPr>
        <w:t xml:space="preserve"> </w:t>
      </w:r>
      <w:r w:rsidRPr="003A2434">
        <w:rPr>
          <w:rStyle w:val="None"/>
          <w:b/>
          <w:sz w:val="24"/>
          <w:szCs w:val="24"/>
        </w:rPr>
        <w:t>APOE status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 </w:t>
      </w:r>
      <w:r>
        <w:rPr>
          <w:rStyle w:val="None"/>
          <w:rFonts w:ascii="Arial" w:hAnsi="Arial" w:cs="Arial"/>
          <w:sz w:val="24"/>
          <w:szCs w:val="24"/>
        </w:rPr>
        <w:t>(</w:t>
      </w:r>
      <w:r>
        <w:rPr>
          <w:rStyle w:val="None"/>
          <w:rFonts w:ascii="Arial" w:hAnsi="Arial" w:cs="Arial"/>
          <w:sz w:val="24"/>
          <w:szCs w:val="24"/>
        </w:rPr>
        <w:sym w:font="Symbol" w:char="F065"/>
      </w:r>
      <w:r>
        <w:rPr>
          <w:rStyle w:val="None"/>
          <w:rFonts w:ascii="Arial" w:hAnsi="Arial" w:cs="Arial"/>
          <w:sz w:val="24"/>
          <w:szCs w:val="24"/>
        </w:rPr>
        <w:t>4+/</w:t>
      </w:r>
      <w:r>
        <w:rPr>
          <w:rStyle w:val="None"/>
          <w:rFonts w:ascii="Arial" w:hAnsi="Arial" w:cs="Arial"/>
          <w:sz w:val="24"/>
          <w:szCs w:val="24"/>
        </w:rPr>
        <w:sym w:font="Symbol" w:char="F065"/>
      </w:r>
      <w:r>
        <w:rPr>
          <w:rStyle w:val="None"/>
          <w:rFonts w:ascii="Arial" w:hAnsi="Arial" w:cs="Arial"/>
          <w:sz w:val="24"/>
          <w:szCs w:val="24"/>
        </w:rPr>
        <w:t xml:space="preserve">4-) </w:t>
      </w:r>
      <w:r w:rsidRPr="007B033B">
        <w:rPr>
          <w:rStyle w:val="None"/>
          <w:rFonts w:ascii="Arial" w:hAnsi="Arial" w:cs="Arial"/>
          <w:sz w:val="24"/>
          <w:szCs w:val="24"/>
        </w:rPr>
        <w:t>as additional covariates (</w:t>
      </w:r>
      <w:r w:rsidRPr="007B033B">
        <w:rPr>
          <w:rFonts w:ascii="Arial" w:hAnsi="Arial" w:cs="Arial"/>
          <w:sz w:val="24"/>
          <w:szCs w:val="24"/>
        </w:rPr>
        <w:t>p &lt; 0.05, FWE cluster level</w:t>
      </w:r>
      <w:r w:rsidRPr="007B033B">
        <w:rPr>
          <w:rStyle w:val="None"/>
          <w:rFonts w:ascii="Arial" w:hAnsi="Arial" w:cs="Arial"/>
          <w:sz w:val="24"/>
          <w:szCs w:val="24"/>
        </w:rPr>
        <w:t>)</w:t>
      </w:r>
      <w:r w:rsidRPr="003A2434">
        <w:rPr>
          <w:rStyle w:val="None"/>
        </w:rPr>
        <w:t>.</w:t>
      </w:r>
      <w:r w:rsidRPr="003A2434">
        <w:rPr>
          <w:rStyle w:val="None"/>
          <w:sz w:val="24"/>
          <w:szCs w:val="24"/>
        </w:rPr>
        <w:t xml:space="preserve"> </w:t>
      </w:r>
      <w:r w:rsidRPr="007B033B">
        <w:rPr>
          <w:rStyle w:val="None"/>
          <w:rFonts w:ascii="Arial" w:hAnsi="Arial" w:cs="Arial"/>
          <w:sz w:val="24"/>
          <w:szCs w:val="24"/>
        </w:rPr>
        <w:t>The color bar represents the height of suprathreshold t-values.</w:t>
      </w:r>
    </w:p>
    <w:p w:rsidR="006566AA" w:rsidRPr="007B033B" w:rsidRDefault="006566AA" w:rsidP="006566AA">
      <w:pPr>
        <w:pStyle w:val="Body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/>
        <w:rPr>
          <w:rFonts w:ascii="Arial" w:hAnsi="Arial" w:cs="Arial"/>
          <w:b/>
          <w:sz w:val="24"/>
          <w:szCs w:val="24"/>
        </w:rPr>
      </w:pPr>
    </w:p>
    <w:p w:rsidR="006566AA" w:rsidRDefault="006566AA" w:rsidP="006566AA">
      <w:pPr>
        <w:rPr>
          <w:rFonts w:ascii="Arial" w:hAnsi="Arial" w:cs="Arial"/>
          <w:b/>
          <w:lang w:val="en"/>
        </w:rPr>
      </w:pPr>
    </w:p>
    <w:p w:rsidR="006566AA" w:rsidRDefault="006566AA" w:rsidP="006566AA">
      <w:pPr>
        <w:rPr>
          <w:rFonts w:ascii="Arial" w:hAnsi="Arial" w:cs="Arial"/>
          <w:b/>
          <w:lang w:val="en"/>
        </w:rPr>
      </w:pPr>
    </w:p>
    <w:p w:rsidR="006566AA" w:rsidRDefault="006566AA" w:rsidP="006566AA">
      <w:pPr>
        <w:rPr>
          <w:rFonts w:ascii="Arial" w:hAnsi="Arial" w:cs="Arial"/>
          <w:b/>
          <w:lang w:val="en"/>
        </w:rPr>
      </w:pPr>
    </w:p>
    <w:p w:rsidR="006566AA" w:rsidRDefault="006566AA" w:rsidP="006566AA">
      <w:pPr>
        <w:rPr>
          <w:rFonts w:ascii="Arial" w:hAnsi="Arial" w:cs="Arial"/>
          <w:b/>
          <w:lang w:val="en"/>
        </w:rPr>
      </w:pPr>
    </w:p>
    <w:p w:rsidR="006566AA" w:rsidRPr="007B033B" w:rsidRDefault="006566AA" w:rsidP="006566AA">
      <w:pPr>
        <w:rPr>
          <w:rFonts w:ascii="Arial" w:hAnsi="Arial" w:cs="Arial"/>
          <w:b/>
          <w:lang w:val="en"/>
        </w:rPr>
      </w:pPr>
    </w:p>
    <w:p w:rsidR="006566AA" w:rsidRPr="007B033B" w:rsidRDefault="006566AA" w:rsidP="006566AA">
      <w:pPr>
        <w:spacing w:line="360" w:lineRule="auto"/>
        <w:rPr>
          <w:rStyle w:val="None"/>
          <w:rFonts w:ascii="Arial" w:hAnsi="Arial" w:cs="Arial"/>
          <w:b/>
          <w:lang w:val="en-US"/>
        </w:rPr>
      </w:pPr>
      <w:r w:rsidRPr="007B033B">
        <w:rPr>
          <w:rStyle w:val="None"/>
          <w:rFonts w:ascii="Arial" w:hAnsi="Arial" w:cs="Arial"/>
          <w:b/>
          <w:lang w:val="en-US"/>
        </w:rPr>
        <w:t>Figure S2. Brain regions showing increased precuneus</w:t>
      </w:r>
      <w:r>
        <w:rPr>
          <w:rStyle w:val="None"/>
          <w:rFonts w:ascii="Arial" w:hAnsi="Arial" w:cs="Arial"/>
          <w:b/>
          <w:lang w:val="en-US"/>
        </w:rPr>
        <w:t>-</w:t>
      </w:r>
      <w:r w:rsidRPr="007B033B">
        <w:rPr>
          <w:rStyle w:val="None"/>
          <w:rFonts w:ascii="Arial" w:hAnsi="Arial" w:cs="Arial"/>
          <w:b/>
          <w:lang w:val="en-US"/>
        </w:rPr>
        <w:t xml:space="preserve">based FC in </w:t>
      </w:r>
      <w:r w:rsidRPr="007B033B">
        <w:rPr>
          <w:rFonts w:ascii="Arial" w:hAnsi="Arial" w:cs="Arial"/>
          <w:lang w:val="en-US"/>
        </w:rPr>
        <w:t>SCD</w:t>
      </w:r>
      <w:r w:rsidRPr="007B033B">
        <w:rPr>
          <w:rFonts w:ascii="Arial" w:hAnsi="Arial" w:cs="Arial"/>
          <w:vertAlign w:val="subscript"/>
          <w:lang w:val="en-US"/>
        </w:rPr>
        <w:t>A</w:t>
      </w:r>
      <w:r w:rsidRPr="007B033B">
        <w:rPr>
          <w:rFonts w:ascii="Arial" w:hAnsi="Arial" w:cs="Arial"/>
          <w:vertAlign w:val="subscript"/>
        </w:rPr>
        <w:t>β</w:t>
      </w:r>
      <w:r w:rsidRPr="007B033B">
        <w:rPr>
          <w:rFonts w:ascii="Arial" w:hAnsi="Arial" w:cs="Arial"/>
          <w:vertAlign w:val="subscript"/>
          <w:lang w:val="en-US"/>
        </w:rPr>
        <w:t>+</w:t>
      </w:r>
      <w:r w:rsidRPr="007B033B">
        <w:rPr>
          <w:rStyle w:val="None"/>
          <w:rFonts w:ascii="Arial" w:hAnsi="Arial" w:cs="Arial"/>
          <w:b/>
          <w:lang w:val="en-US"/>
        </w:rPr>
        <w:t xml:space="preserve"> compared to SCD</w:t>
      </w:r>
      <w:r w:rsidRPr="007B033B">
        <w:rPr>
          <w:rFonts w:ascii="Arial" w:hAnsi="Arial" w:cs="Arial"/>
          <w:vertAlign w:val="subscript"/>
          <w:lang w:val="en-US"/>
        </w:rPr>
        <w:t xml:space="preserve"> A</w:t>
      </w:r>
      <w:r w:rsidRPr="007B033B">
        <w:rPr>
          <w:rFonts w:ascii="Arial" w:hAnsi="Arial" w:cs="Arial"/>
          <w:vertAlign w:val="subscript"/>
        </w:rPr>
        <w:t>β</w:t>
      </w:r>
      <w:r w:rsidRPr="007B033B">
        <w:rPr>
          <w:rFonts w:ascii="Arial" w:hAnsi="Arial" w:cs="Arial"/>
          <w:vertAlign w:val="subscript"/>
          <w:lang w:val="en-US"/>
        </w:rPr>
        <w:t xml:space="preserve">- </w:t>
      </w:r>
      <w:r w:rsidRPr="007B033B">
        <w:rPr>
          <w:rStyle w:val="None"/>
          <w:rFonts w:ascii="Arial" w:hAnsi="Arial" w:cs="Arial"/>
          <w:b/>
          <w:lang w:val="en-US"/>
        </w:rPr>
        <w:t>based on voxel-wise FC</w:t>
      </w:r>
      <w:r>
        <w:rPr>
          <w:rStyle w:val="None"/>
          <w:rFonts w:ascii="Arial" w:hAnsi="Arial" w:cs="Arial"/>
          <w:b/>
          <w:lang w:val="en-US"/>
        </w:rPr>
        <w:t>,</w:t>
      </w:r>
      <w:r w:rsidRPr="007B033B">
        <w:rPr>
          <w:rStyle w:val="None"/>
          <w:rFonts w:ascii="Arial" w:hAnsi="Arial" w:cs="Arial"/>
          <w:b/>
          <w:lang w:val="en-US"/>
        </w:rPr>
        <w:t xml:space="preserve"> </w:t>
      </w:r>
      <w:r w:rsidRPr="007B033B">
        <w:rPr>
          <w:rFonts w:ascii="Arial" w:hAnsi="Arial" w:cs="Arial"/>
          <w:b/>
          <w:lang w:val="en-US"/>
        </w:rPr>
        <w:t>with MRI scanner covariates</w:t>
      </w:r>
      <w:r>
        <w:rPr>
          <w:rFonts w:ascii="Arial" w:hAnsi="Arial" w:cs="Arial"/>
          <w:b/>
          <w:lang w:val="en-US"/>
        </w:rPr>
        <w:t xml:space="preserve"> only</w:t>
      </w:r>
      <w:r w:rsidRPr="007B033B">
        <w:rPr>
          <w:rFonts w:ascii="Arial" w:hAnsi="Arial" w:cs="Arial"/>
          <w:b/>
          <w:lang w:val="en-US"/>
        </w:rPr>
        <w:t>.</w:t>
      </w:r>
    </w:p>
    <w:p w:rsidR="006566AA" w:rsidRPr="007B033B" w:rsidRDefault="006566AA" w:rsidP="006566AA">
      <w:pPr>
        <w:spacing w:line="360" w:lineRule="auto"/>
        <w:jc w:val="center"/>
        <w:rPr>
          <w:rStyle w:val="None"/>
          <w:rFonts w:ascii="Arial" w:hAnsi="Arial" w:cs="Arial"/>
          <w:b/>
        </w:rPr>
      </w:pPr>
      <w:r w:rsidRPr="007B033B">
        <w:rPr>
          <w:rStyle w:val="None"/>
          <w:rFonts w:ascii="Arial" w:hAnsi="Arial" w:cs="Arial"/>
          <w:b/>
          <w:noProof/>
          <w:lang w:val="en-US" w:eastAsia="en-US"/>
        </w:rPr>
        <w:drawing>
          <wp:inline distT="0" distB="0" distL="0" distR="0" wp14:anchorId="44EFCB85" wp14:editId="3E5F9192">
            <wp:extent cx="4842980" cy="2292626"/>
            <wp:effectExtent l="0" t="0" r="0" b="6350"/>
            <wp:docPr id="10" name="Picture 10" descr="U:\DZNE\DELCODE_PET\Manuscript\Manuscript\NEW_Figure_06_12_2019\FC_Result_Supp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:\DZNE\DELCODE_PET\Manuscript\Manuscript\NEW_Figure_06_12_2019\FC_Result_Suppl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823" cy="2300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6AA" w:rsidRPr="007B033B" w:rsidRDefault="006566AA" w:rsidP="006566AA">
      <w:pPr>
        <w:pStyle w:val="Body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200"/>
        <w:rPr>
          <w:rFonts w:ascii="Arial" w:hAnsi="Arial" w:cs="Arial"/>
        </w:rPr>
      </w:pPr>
      <w:r w:rsidRPr="007B033B">
        <w:rPr>
          <w:rStyle w:val="None"/>
          <w:rFonts w:ascii="Arial" w:hAnsi="Arial" w:cs="Arial"/>
          <w:sz w:val="24"/>
          <w:szCs w:val="24"/>
        </w:rPr>
        <w:t xml:space="preserve">The figure represents the increased FC </w:t>
      </w:r>
      <w:r>
        <w:rPr>
          <w:rStyle w:val="None"/>
          <w:rFonts w:ascii="Arial" w:hAnsi="Arial" w:cs="Arial"/>
          <w:sz w:val="24"/>
          <w:szCs w:val="24"/>
        </w:rPr>
        <w:t>for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 the</w:t>
      </w:r>
      <w:r>
        <w:rPr>
          <w:rStyle w:val="None"/>
          <w:rFonts w:ascii="Arial" w:hAnsi="Arial" w:cs="Arial"/>
          <w:sz w:val="24"/>
          <w:szCs w:val="24"/>
        </w:rPr>
        <w:t xml:space="preserve"> amyloid-positive group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 </w:t>
      </w:r>
      <w:r>
        <w:rPr>
          <w:rStyle w:val="None"/>
          <w:rFonts w:ascii="Arial" w:hAnsi="Arial" w:cs="Arial"/>
          <w:sz w:val="24"/>
          <w:szCs w:val="24"/>
        </w:rPr>
        <w:t>(</w:t>
      </w:r>
      <w:r w:rsidRPr="007B033B">
        <w:rPr>
          <w:rStyle w:val="None"/>
          <w:rFonts w:ascii="Arial" w:hAnsi="Arial" w:cs="Arial"/>
          <w:sz w:val="24"/>
          <w:szCs w:val="24"/>
        </w:rPr>
        <w:t>SCD</w:t>
      </w:r>
      <w:r w:rsidRPr="007B033B">
        <w:rPr>
          <w:rStyle w:val="None"/>
          <w:rFonts w:ascii="Arial" w:hAnsi="Arial" w:cs="Arial"/>
          <w:sz w:val="24"/>
          <w:szCs w:val="24"/>
          <w:vertAlign w:val="subscript"/>
        </w:rPr>
        <w:t>Aß+</w:t>
      </w:r>
      <w:r>
        <w:rPr>
          <w:rStyle w:val="None"/>
          <w:rFonts w:ascii="Arial" w:hAnsi="Arial" w:cs="Arial"/>
          <w:sz w:val="24"/>
          <w:szCs w:val="24"/>
        </w:rPr>
        <w:t>)</w:t>
      </w:r>
      <w:r w:rsidRPr="007B033B">
        <w:rPr>
          <w:rStyle w:val="None"/>
          <w:rFonts w:ascii="Arial" w:hAnsi="Arial" w:cs="Arial"/>
          <w:sz w:val="24"/>
          <w:szCs w:val="24"/>
          <w:vertAlign w:val="subscript"/>
        </w:rPr>
        <w:t xml:space="preserve"> </w:t>
      </w:r>
      <w:r w:rsidRPr="007B033B">
        <w:rPr>
          <w:rStyle w:val="None"/>
          <w:rFonts w:ascii="Arial" w:hAnsi="Arial" w:cs="Arial"/>
          <w:sz w:val="24"/>
          <w:szCs w:val="24"/>
        </w:rPr>
        <w:t xml:space="preserve">group in the cuneus and superior occipital regions after two sample t-tests with MRI scanner as covariates </w:t>
      </w:r>
      <w:r w:rsidRPr="007B033B">
        <w:rPr>
          <w:rFonts w:ascii="Arial" w:hAnsi="Arial" w:cs="Arial"/>
          <w:sz w:val="24"/>
          <w:szCs w:val="24"/>
        </w:rPr>
        <w:t>(p &lt; 0.05, FWE cluster</w:t>
      </w:r>
      <w:r>
        <w:rPr>
          <w:rFonts w:ascii="Arial" w:hAnsi="Arial" w:cs="Arial"/>
          <w:sz w:val="24"/>
          <w:szCs w:val="24"/>
        </w:rPr>
        <w:t>-</w:t>
      </w:r>
      <w:r w:rsidRPr="007B033B">
        <w:rPr>
          <w:rFonts w:ascii="Arial" w:hAnsi="Arial" w:cs="Arial"/>
          <w:sz w:val="24"/>
          <w:szCs w:val="24"/>
        </w:rPr>
        <w:t>level)</w:t>
      </w:r>
      <w:r w:rsidRPr="007B033B">
        <w:rPr>
          <w:rStyle w:val="None"/>
          <w:rFonts w:ascii="Arial" w:hAnsi="Arial" w:cs="Arial"/>
          <w:sz w:val="24"/>
          <w:szCs w:val="24"/>
        </w:rPr>
        <w:t>. The color bar represents the height of suprathreshold t-values.</w:t>
      </w:r>
    </w:p>
    <w:p w:rsidR="00AD69C0" w:rsidRPr="006566AA" w:rsidRDefault="00AD69C0">
      <w:pPr>
        <w:rPr>
          <w:lang w:val="en-US"/>
        </w:rPr>
      </w:pPr>
    </w:p>
    <w:sectPr w:rsidR="00AD69C0" w:rsidRPr="006566AA" w:rsidSect="00FE6D62">
      <w:headerReference w:type="even" r:id="rId9"/>
      <w:headerReference w:type="default" r:id="rId10"/>
      <w:footerReference w:type="default" r:id="rId11"/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742" w:rsidRDefault="00623742" w:rsidP="00FE6D62">
      <w:r>
        <w:separator/>
      </w:r>
    </w:p>
  </w:endnote>
  <w:endnote w:type="continuationSeparator" w:id="0">
    <w:p w:rsidR="00623742" w:rsidRDefault="00623742" w:rsidP="00FE6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5C7C" w:rsidRDefault="009558D7">
    <w:pPr>
      <w:pStyle w:val="Footer"/>
    </w:pPr>
  </w:p>
  <w:p w:rsidR="00E25C7C" w:rsidRDefault="00955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742" w:rsidRDefault="00623742" w:rsidP="00FE6D62">
      <w:r>
        <w:separator/>
      </w:r>
    </w:p>
  </w:footnote>
  <w:footnote w:type="continuationSeparator" w:id="0">
    <w:p w:rsidR="00623742" w:rsidRDefault="00623742" w:rsidP="00FE6D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973715141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E25C7C" w:rsidRDefault="00623742" w:rsidP="00580CE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25C7C" w:rsidRDefault="009558D7" w:rsidP="003F566E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Theme="minorHAnsi" w:hAnsiTheme="minorHAnsi" w:cstheme="minorHAnsi"/>
        <w:sz w:val="16"/>
        <w:szCs w:val="16"/>
      </w:rPr>
      <w:id w:val="38368572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:rsidR="00E25C7C" w:rsidRPr="00FE6D62" w:rsidRDefault="00623742" w:rsidP="00580CE5">
        <w:pPr>
          <w:pStyle w:val="Header"/>
          <w:framePr w:wrap="none" w:vAnchor="text" w:hAnchor="margin" w:xAlign="right" w:y="1"/>
          <w:rPr>
            <w:rStyle w:val="PageNumber"/>
            <w:rFonts w:asciiTheme="minorHAnsi" w:hAnsiTheme="minorHAnsi" w:cstheme="minorHAnsi"/>
            <w:sz w:val="16"/>
            <w:szCs w:val="16"/>
            <w:lang w:val="en-US"/>
          </w:rPr>
        </w:pPr>
        <w:r w:rsidRPr="003F566E">
          <w:rPr>
            <w:rStyle w:val="PageNumber"/>
            <w:rFonts w:asciiTheme="minorHAnsi" w:hAnsiTheme="minorHAnsi" w:cstheme="minorHAnsi"/>
            <w:sz w:val="16"/>
            <w:szCs w:val="16"/>
          </w:rPr>
          <w:fldChar w:fldCharType="begin"/>
        </w:r>
        <w:r w:rsidRPr="003F566E">
          <w:rPr>
            <w:rStyle w:val="PageNumber"/>
            <w:rFonts w:asciiTheme="minorHAnsi" w:hAnsiTheme="minorHAnsi" w:cstheme="minorHAnsi"/>
            <w:sz w:val="16"/>
            <w:szCs w:val="16"/>
          </w:rPr>
          <w:instrText xml:space="preserve"> PAGE </w:instrText>
        </w:r>
        <w:r w:rsidRPr="003F566E">
          <w:rPr>
            <w:rStyle w:val="PageNumber"/>
            <w:rFonts w:asciiTheme="minorHAnsi" w:hAnsiTheme="minorHAnsi" w:cstheme="minorHAnsi"/>
            <w:sz w:val="16"/>
            <w:szCs w:val="16"/>
          </w:rPr>
          <w:fldChar w:fldCharType="separate"/>
        </w:r>
        <w:r w:rsidR="009558D7">
          <w:rPr>
            <w:rStyle w:val="PageNumber"/>
            <w:rFonts w:asciiTheme="minorHAnsi" w:hAnsiTheme="minorHAnsi" w:cstheme="minorHAnsi"/>
            <w:noProof/>
            <w:sz w:val="16"/>
            <w:szCs w:val="16"/>
          </w:rPr>
          <w:t>1</w:t>
        </w:r>
        <w:r w:rsidRPr="003F566E">
          <w:rPr>
            <w:rStyle w:val="PageNumber"/>
            <w:rFonts w:asciiTheme="minorHAnsi" w:hAnsiTheme="minorHAnsi" w:cstheme="minorHAnsi"/>
            <w:sz w:val="16"/>
            <w:szCs w:val="16"/>
          </w:rPr>
          <w:fldChar w:fldCharType="end"/>
        </w:r>
      </w:p>
    </w:sdtContent>
  </w:sdt>
  <w:p w:rsidR="00E25C7C" w:rsidRPr="00FE6D62" w:rsidRDefault="00FE6D62" w:rsidP="003F566E">
    <w:pPr>
      <w:pStyle w:val="Header"/>
      <w:ind w:right="360"/>
      <w:rPr>
        <w:rFonts w:asciiTheme="minorHAnsi" w:hAnsiTheme="minorHAnsi" w:cstheme="minorHAnsi"/>
        <w:sz w:val="16"/>
        <w:szCs w:val="16"/>
        <w:lang w:val="en-US"/>
      </w:rPr>
    </w:pPr>
    <w:r w:rsidRPr="00FE6D62">
      <w:rPr>
        <w:rFonts w:asciiTheme="minorHAnsi" w:hAnsiTheme="minorHAnsi" w:cstheme="minorHAnsi"/>
        <w:sz w:val="16"/>
        <w:szCs w:val="16"/>
        <w:lang w:val="en-US"/>
      </w:rPr>
      <w:t>Li et al. (Alzheimer’s Research and Therapy</w:t>
    </w:r>
    <w:r>
      <w:rPr>
        <w:rFonts w:asciiTheme="minorHAnsi" w:hAnsiTheme="minorHAnsi" w:cstheme="minorHAnsi"/>
        <w:sz w:val="16"/>
        <w:szCs w:val="16"/>
        <w:lang w:val="en-US"/>
      </w:rPr>
      <w:t>): Additional Files</w:t>
    </w:r>
    <w:r w:rsidR="00623742" w:rsidRPr="00FE6D62">
      <w:rPr>
        <w:rFonts w:asciiTheme="minorHAnsi" w:hAnsiTheme="minorHAnsi" w:cstheme="minorHAnsi"/>
        <w:sz w:val="16"/>
        <w:szCs w:val="16"/>
        <w:lang w:val="en-US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45A"/>
    <w:rsid w:val="0000565A"/>
    <w:rsid w:val="0000750E"/>
    <w:rsid w:val="0000788C"/>
    <w:rsid w:val="0002193C"/>
    <w:rsid w:val="00026D69"/>
    <w:rsid w:val="00027411"/>
    <w:rsid w:val="000417B8"/>
    <w:rsid w:val="000512E0"/>
    <w:rsid w:val="0005342B"/>
    <w:rsid w:val="00054BDB"/>
    <w:rsid w:val="00056354"/>
    <w:rsid w:val="00061F6E"/>
    <w:rsid w:val="0006389D"/>
    <w:rsid w:val="00072E2A"/>
    <w:rsid w:val="00073BB5"/>
    <w:rsid w:val="00074C14"/>
    <w:rsid w:val="00075DC9"/>
    <w:rsid w:val="00083FED"/>
    <w:rsid w:val="00090F17"/>
    <w:rsid w:val="00092E24"/>
    <w:rsid w:val="00093C87"/>
    <w:rsid w:val="000A3448"/>
    <w:rsid w:val="000A5836"/>
    <w:rsid w:val="000B001F"/>
    <w:rsid w:val="000C73AA"/>
    <w:rsid w:val="000C7CF6"/>
    <w:rsid w:val="000D5488"/>
    <w:rsid w:val="000D7F90"/>
    <w:rsid w:val="000E7E83"/>
    <w:rsid w:val="000F1B10"/>
    <w:rsid w:val="00100A1E"/>
    <w:rsid w:val="00101204"/>
    <w:rsid w:val="001138E8"/>
    <w:rsid w:val="00124D54"/>
    <w:rsid w:val="00130050"/>
    <w:rsid w:val="001326E0"/>
    <w:rsid w:val="001376E6"/>
    <w:rsid w:val="001443A3"/>
    <w:rsid w:val="00150A07"/>
    <w:rsid w:val="0015469C"/>
    <w:rsid w:val="00161C26"/>
    <w:rsid w:val="00164255"/>
    <w:rsid w:val="001722ED"/>
    <w:rsid w:val="00174324"/>
    <w:rsid w:val="001755FD"/>
    <w:rsid w:val="00187D97"/>
    <w:rsid w:val="00191AC2"/>
    <w:rsid w:val="00193F79"/>
    <w:rsid w:val="00195B16"/>
    <w:rsid w:val="001B3F05"/>
    <w:rsid w:val="001B45AC"/>
    <w:rsid w:val="001D0919"/>
    <w:rsid w:val="001D19F6"/>
    <w:rsid w:val="001D2D4B"/>
    <w:rsid w:val="002009D1"/>
    <w:rsid w:val="00206201"/>
    <w:rsid w:val="002064A2"/>
    <w:rsid w:val="00210F19"/>
    <w:rsid w:val="0022051E"/>
    <w:rsid w:val="00233CFD"/>
    <w:rsid w:val="00242871"/>
    <w:rsid w:val="00244214"/>
    <w:rsid w:val="002450B6"/>
    <w:rsid w:val="002478A5"/>
    <w:rsid w:val="00250D7D"/>
    <w:rsid w:val="0025609F"/>
    <w:rsid w:val="00277D94"/>
    <w:rsid w:val="002825E5"/>
    <w:rsid w:val="002915B4"/>
    <w:rsid w:val="002A6030"/>
    <w:rsid w:val="002B3E4D"/>
    <w:rsid w:val="002B65D5"/>
    <w:rsid w:val="002D7004"/>
    <w:rsid w:val="002E59DE"/>
    <w:rsid w:val="002F11B5"/>
    <w:rsid w:val="003026F0"/>
    <w:rsid w:val="00306593"/>
    <w:rsid w:val="0031636F"/>
    <w:rsid w:val="003220D8"/>
    <w:rsid w:val="00326291"/>
    <w:rsid w:val="00326DBB"/>
    <w:rsid w:val="00341616"/>
    <w:rsid w:val="0034291A"/>
    <w:rsid w:val="00356668"/>
    <w:rsid w:val="00360590"/>
    <w:rsid w:val="00374DC3"/>
    <w:rsid w:val="00380F7B"/>
    <w:rsid w:val="003858A1"/>
    <w:rsid w:val="00391525"/>
    <w:rsid w:val="00394B32"/>
    <w:rsid w:val="00394FA2"/>
    <w:rsid w:val="0039645E"/>
    <w:rsid w:val="003A0EBA"/>
    <w:rsid w:val="003B6DBC"/>
    <w:rsid w:val="003C0567"/>
    <w:rsid w:val="003D47E8"/>
    <w:rsid w:val="003D64F8"/>
    <w:rsid w:val="003E5833"/>
    <w:rsid w:val="003F2069"/>
    <w:rsid w:val="00404B44"/>
    <w:rsid w:val="004104D9"/>
    <w:rsid w:val="00413257"/>
    <w:rsid w:val="004325EC"/>
    <w:rsid w:val="00436B48"/>
    <w:rsid w:val="00453AFE"/>
    <w:rsid w:val="004710EE"/>
    <w:rsid w:val="00474870"/>
    <w:rsid w:val="00474BFB"/>
    <w:rsid w:val="00477604"/>
    <w:rsid w:val="00480C92"/>
    <w:rsid w:val="00481C1A"/>
    <w:rsid w:val="00485B36"/>
    <w:rsid w:val="004A02BC"/>
    <w:rsid w:val="004A28EB"/>
    <w:rsid w:val="004A3779"/>
    <w:rsid w:val="004B188A"/>
    <w:rsid w:val="004B78A0"/>
    <w:rsid w:val="004E4541"/>
    <w:rsid w:val="004F2E70"/>
    <w:rsid w:val="004F5313"/>
    <w:rsid w:val="004F7979"/>
    <w:rsid w:val="00500298"/>
    <w:rsid w:val="00500620"/>
    <w:rsid w:val="00503E77"/>
    <w:rsid w:val="00511F23"/>
    <w:rsid w:val="00512AE5"/>
    <w:rsid w:val="00515796"/>
    <w:rsid w:val="00520AF7"/>
    <w:rsid w:val="00524815"/>
    <w:rsid w:val="00530880"/>
    <w:rsid w:val="00541D1B"/>
    <w:rsid w:val="00546B4D"/>
    <w:rsid w:val="00551E14"/>
    <w:rsid w:val="00571BDC"/>
    <w:rsid w:val="00575F0D"/>
    <w:rsid w:val="005805AE"/>
    <w:rsid w:val="005808D7"/>
    <w:rsid w:val="00582B81"/>
    <w:rsid w:val="00591F3A"/>
    <w:rsid w:val="005920F4"/>
    <w:rsid w:val="00594E36"/>
    <w:rsid w:val="00597695"/>
    <w:rsid w:val="005C3384"/>
    <w:rsid w:val="005D3781"/>
    <w:rsid w:val="005F1CAA"/>
    <w:rsid w:val="005F27EC"/>
    <w:rsid w:val="005F5F89"/>
    <w:rsid w:val="00621D54"/>
    <w:rsid w:val="00623742"/>
    <w:rsid w:val="00625B16"/>
    <w:rsid w:val="006439E0"/>
    <w:rsid w:val="00645066"/>
    <w:rsid w:val="006464EC"/>
    <w:rsid w:val="00647D4B"/>
    <w:rsid w:val="006529ED"/>
    <w:rsid w:val="006566AA"/>
    <w:rsid w:val="006628E0"/>
    <w:rsid w:val="006674D8"/>
    <w:rsid w:val="0066788D"/>
    <w:rsid w:val="006703BB"/>
    <w:rsid w:val="00677045"/>
    <w:rsid w:val="00677A44"/>
    <w:rsid w:val="00681FC6"/>
    <w:rsid w:val="0068442F"/>
    <w:rsid w:val="006944FA"/>
    <w:rsid w:val="006A4515"/>
    <w:rsid w:val="006A533F"/>
    <w:rsid w:val="006B2802"/>
    <w:rsid w:val="006C0C3C"/>
    <w:rsid w:val="006C130C"/>
    <w:rsid w:val="006C1ED4"/>
    <w:rsid w:val="006C453C"/>
    <w:rsid w:val="006D11C5"/>
    <w:rsid w:val="006D40C9"/>
    <w:rsid w:val="006D75B4"/>
    <w:rsid w:val="006E319E"/>
    <w:rsid w:val="007229F5"/>
    <w:rsid w:val="007241FE"/>
    <w:rsid w:val="0072584F"/>
    <w:rsid w:val="00731EA5"/>
    <w:rsid w:val="00734597"/>
    <w:rsid w:val="00747281"/>
    <w:rsid w:val="007534E5"/>
    <w:rsid w:val="00754FDF"/>
    <w:rsid w:val="00772293"/>
    <w:rsid w:val="00774F51"/>
    <w:rsid w:val="00775346"/>
    <w:rsid w:val="0077726F"/>
    <w:rsid w:val="00777637"/>
    <w:rsid w:val="007816AB"/>
    <w:rsid w:val="00784A5D"/>
    <w:rsid w:val="00784B36"/>
    <w:rsid w:val="00785760"/>
    <w:rsid w:val="007915BC"/>
    <w:rsid w:val="007950F6"/>
    <w:rsid w:val="007A0965"/>
    <w:rsid w:val="007A469F"/>
    <w:rsid w:val="007B4005"/>
    <w:rsid w:val="007C16CC"/>
    <w:rsid w:val="007C5E6D"/>
    <w:rsid w:val="007D7635"/>
    <w:rsid w:val="007E2A69"/>
    <w:rsid w:val="007E3458"/>
    <w:rsid w:val="007E345A"/>
    <w:rsid w:val="007E4049"/>
    <w:rsid w:val="007E5B0A"/>
    <w:rsid w:val="007E73D2"/>
    <w:rsid w:val="007F06ED"/>
    <w:rsid w:val="00821CFB"/>
    <w:rsid w:val="008328D9"/>
    <w:rsid w:val="00837897"/>
    <w:rsid w:val="0084565D"/>
    <w:rsid w:val="00846B60"/>
    <w:rsid w:val="00854D8A"/>
    <w:rsid w:val="0085776C"/>
    <w:rsid w:val="00860108"/>
    <w:rsid w:val="00861921"/>
    <w:rsid w:val="00864F8C"/>
    <w:rsid w:val="00873A94"/>
    <w:rsid w:val="00887B4C"/>
    <w:rsid w:val="00887D00"/>
    <w:rsid w:val="00887F0A"/>
    <w:rsid w:val="008930CE"/>
    <w:rsid w:val="008942E2"/>
    <w:rsid w:val="008A28F7"/>
    <w:rsid w:val="008B1751"/>
    <w:rsid w:val="008B7D6E"/>
    <w:rsid w:val="008C1412"/>
    <w:rsid w:val="008C4D63"/>
    <w:rsid w:val="008D0E22"/>
    <w:rsid w:val="008D6247"/>
    <w:rsid w:val="008E34EE"/>
    <w:rsid w:val="008F494A"/>
    <w:rsid w:val="00925007"/>
    <w:rsid w:val="009316FE"/>
    <w:rsid w:val="00933343"/>
    <w:rsid w:val="00937C63"/>
    <w:rsid w:val="0094220B"/>
    <w:rsid w:val="00945A87"/>
    <w:rsid w:val="009477BF"/>
    <w:rsid w:val="0095394E"/>
    <w:rsid w:val="00954ED4"/>
    <w:rsid w:val="009558D7"/>
    <w:rsid w:val="009560D1"/>
    <w:rsid w:val="0097285B"/>
    <w:rsid w:val="009768B6"/>
    <w:rsid w:val="00981461"/>
    <w:rsid w:val="009936CF"/>
    <w:rsid w:val="009969CB"/>
    <w:rsid w:val="00996BF8"/>
    <w:rsid w:val="009A2F5A"/>
    <w:rsid w:val="009A4BCC"/>
    <w:rsid w:val="009A5193"/>
    <w:rsid w:val="009A7CC7"/>
    <w:rsid w:val="009B30B0"/>
    <w:rsid w:val="009B3658"/>
    <w:rsid w:val="009B696A"/>
    <w:rsid w:val="009C253D"/>
    <w:rsid w:val="009C2E9B"/>
    <w:rsid w:val="009D58E2"/>
    <w:rsid w:val="00A11DA9"/>
    <w:rsid w:val="00A163E1"/>
    <w:rsid w:val="00A2314E"/>
    <w:rsid w:val="00A27ED3"/>
    <w:rsid w:val="00A33EC6"/>
    <w:rsid w:val="00A541CB"/>
    <w:rsid w:val="00A54595"/>
    <w:rsid w:val="00A5596B"/>
    <w:rsid w:val="00A55F92"/>
    <w:rsid w:val="00A808FB"/>
    <w:rsid w:val="00A90E12"/>
    <w:rsid w:val="00AB2123"/>
    <w:rsid w:val="00AB57C5"/>
    <w:rsid w:val="00AB6978"/>
    <w:rsid w:val="00AC0246"/>
    <w:rsid w:val="00AC2154"/>
    <w:rsid w:val="00AC59EC"/>
    <w:rsid w:val="00AD0704"/>
    <w:rsid w:val="00AD097B"/>
    <w:rsid w:val="00AD5467"/>
    <w:rsid w:val="00AD69C0"/>
    <w:rsid w:val="00AE2FBF"/>
    <w:rsid w:val="00AF559D"/>
    <w:rsid w:val="00B007D1"/>
    <w:rsid w:val="00B03088"/>
    <w:rsid w:val="00B0412B"/>
    <w:rsid w:val="00B102D3"/>
    <w:rsid w:val="00B25592"/>
    <w:rsid w:val="00B3037D"/>
    <w:rsid w:val="00B316BE"/>
    <w:rsid w:val="00B37F4B"/>
    <w:rsid w:val="00B411CC"/>
    <w:rsid w:val="00B44265"/>
    <w:rsid w:val="00B6375E"/>
    <w:rsid w:val="00B63E49"/>
    <w:rsid w:val="00B70F78"/>
    <w:rsid w:val="00B72BF7"/>
    <w:rsid w:val="00B7561A"/>
    <w:rsid w:val="00B77E25"/>
    <w:rsid w:val="00B845BE"/>
    <w:rsid w:val="00B84BDB"/>
    <w:rsid w:val="00B9066B"/>
    <w:rsid w:val="00B968DE"/>
    <w:rsid w:val="00BB39B4"/>
    <w:rsid w:val="00BB5E2D"/>
    <w:rsid w:val="00BB7B37"/>
    <w:rsid w:val="00BC147C"/>
    <w:rsid w:val="00BD6849"/>
    <w:rsid w:val="00BE27AB"/>
    <w:rsid w:val="00BE3227"/>
    <w:rsid w:val="00BE38F8"/>
    <w:rsid w:val="00BE4609"/>
    <w:rsid w:val="00BF2041"/>
    <w:rsid w:val="00BF2E16"/>
    <w:rsid w:val="00BF4888"/>
    <w:rsid w:val="00C07C2E"/>
    <w:rsid w:val="00C12F02"/>
    <w:rsid w:val="00C3542E"/>
    <w:rsid w:val="00C47467"/>
    <w:rsid w:val="00C50EFA"/>
    <w:rsid w:val="00C54029"/>
    <w:rsid w:val="00C557CC"/>
    <w:rsid w:val="00C55D23"/>
    <w:rsid w:val="00C56D75"/>
    <w:rsid w:val="00C65CA1"/>
    <w:rsid w:val="00C72D8A"/>
    <w:rsid w:val="00C81A5A"/>
    <w:rsid w:val="00C85073"/>
    <w:rsid w:val="00C85FFD"/>
    <w:rsid w:val="00C866AD"/>
    <w:rsid w:val="00C9217D"/>
    <w:rsid w:val="00C93D2A"/>
    <w:rsid w:val="00C96C30"/>
    <w:rsid w:val="00C97713"/>
    <w:rsid w:val="00CA2CE9"/>
    <w:rsid w:val="00CA3A3D"/>
    <w:rsid w:val="00CA5042"/>
    <w:rsid w:val="00CA6E86"/>
    <w:rsid w:val="00CB1CC7"/>
    <w:rsid w:val="00CC5CBD"/>
    <w:rsid w:val="00CD0923"/>
    <w:rsid w:val="00CD24B1"/>
    <w:rsid w:val="00CD5695"/>
    <w:rsid w:val="00CD783C"/>
    <w:rsid w:val="00CE06AC"/>
    <w:rsid w:val="00CE06CF"/>
    <w:rsid w:val="00CE2CB2"/>
    <w:rsid w:val="00CE3054"/>
    <w:rsid w:val="00CF6BC4"/>
    <w:rsid w:val="00CF7594"/>
    <w:rsid w:val="00D01FA6"/>
    <w:rsid w:val="00D327B9"/>
    <w:rsid w:val="00D34BAA"/>
    <w:rsid w:val="00D538CA"/>
    <w:rsid w:val="00D56168"/>
    <w:rsid w:val="00D61CCD"/>
    <w:rsid w:val="00D73860"/>
    <w:rsid w:val="00D84E0C"/>
    <w:rsid w:val="00D85CB4"/>
    <w:rsid w:val="00D87946"/>
    <w:rsid w:val="00D92EA5"/>
    <w:rsid w:val="00D932C9"/>
    <w:rsid w:val="00D95157"/>
    <w:rsid w:val="00DA0866"/>
    <w:rsid w:val="00DA3538"/>
    <w:rsid w:val="00DA6B58"/>
    <w:rsid w:val="00DB1968"/>
    <w:rsid w:val="00DC3071"/>
    <w:rsid w:val="00DC4755"/>
    <w:rsid w:val="00DC4DA4"/>
    <w:rsid w:val="00DD01DE"/>
    <w:rsid w:val="00DD612C"/>
    <w:rsid w:val="00DF5E7A"/>
    <w:rsid w:val="00E00456"/>
    <w:rsid w:val="00E03214"/>
    <w:rsid w:val="00E03577"/>
    <w:rsid w:val="00E03C47"/>
    <w:rsid w:val="00E067B6"/>
    <w:rsid w:val="00E134AA"/>
    <w:rsid w:val="00E13685"/>
    <w:rsid w:val="00E31479"/>
    <w:rsid w:val="00E35B71"/>
    <w:rsid w:val="00E35EFA"/>
    <w:rsid w:val="00E527D0"/>
    <w:rsid w:val="00E52DAF"/>
    <w:rsid w:val="00E5480C"/>
    <w:rsid w:val="00E577F8"/>
    <w:rsid w:val="00E65E36"/>
    <w:rsid w:val="00E66A6E"/>
    <w:rsid w:val="00E73B45"/>
    <w:rsid w:val="00E83725"/>
    <w:rsid w:val="00E8405F"/>
    <w:rsid w:val="00E84CBC"/>
    <w:rsid w:val="00EA0618"/>
    <w:rsid w:val="00EA096E"/>
    <w:rsid w:val="00ED08AA"/>
    <w:rsid w:val="00ED0FD6"/>
    <w:rsid w:val="00ED3A55"/>
    <w:rsid w:val="00EE0D25"/>
    <w:rsid w:val="00EE36EF"/>
    <w:rsid w:val="00EE3E85"/>
    <w:rsid w:val="00EF4C35"/>
    <w:rsid w:val="00F00091"/>
    <w:rsid w:val="00F0073E"/>
    <w:rsid w:val="00F018E6"/>
    <w:rsid w:val="00F12381"/>
    <w:rsid w:val="00F20346"/>
    <w:rsid w:val="00F21941"/>
    <w:rsid w:val="00F21DFB"/>
    <w:rsid w:val="00F24D68"/>
    <w:rsid w:val="00F33DB6"/>
    <w:rsid w:val="00F413A9"/>
    <w:rsid w:val="00F46E7A"/>
    <w:rsid w:val="00F51F69"/>
    <w:rsid w:val="00F530AB"/>
    <w:rsid w:val="00F55299"/>
    <w:rsid w:val="00F76FF0"/>
    <w:rsid w:val="00F775A4"/>
    <w:rsid w:val="00F86371"/>
    <w:rsid w:val="00F92CD0"/>
    <w:rsid w:val="00FA0474"/>
    <w:rsid w:val="00FA25F6"/>
    <w:rsid w:val="00FA4BF8"/>
    <w:rsid w:val="00FB325E"/>
    <w:rsid w:val="00FC5980"/>
    <w:rsid w:val="00FC6D1D"/>
    <w:rsid w:val="00FD5EE3"/>
    <w:rsid w:val="00FE28BC"/>
    <w:rsid w:val="00FE6454"/>
    <w:rsid w:val="00FE6D62"/>
    <w:rsid w:val="00FE7E67"/>
    <w:rsid w:val="00FF330F"/>
    <w:rsid w:val="00FF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E7B0154C-2EA9-A84C-A00F-482F466A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6AA"/>
    <w:rPr>
      <w:rFonts w:ascii="Times New Roman" w:eastAsia="Times New Roman" w:hAnsi="Times New Roman" w:cs="Times New Roman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66A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6AA"/>
    <w:rPr>
      <w:rFonts w:ascii="Times New Roman" w:eastAsia="Times New Roman" w:hAnsi="Times New Roman" w:cs="Times New Roman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6566A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6AA"/>
    <w:rPr>
      <w:rFonts w:ascii="Times New Roman" w:eastAsia="Times New Roman" w:hAnsi="Times New Roman" w:cs="Times New Roman"/>
      <w:lang w:eastAsia="de-DE"/>
    </w:rPr>
  </w:style>
  <w:style w:type="character" w:styleId="PageNumber">
    <w:name w:val="page number"/>
    <w:basedOn w:val="DefaultParagraphFont"/>
    <w:uiPriority w:val="99"/>
    <w:semiHidden/>
    <w:unhideWhenUsed/>
    <w:rsid w:val="006566AA"/>
  </w:style>
  <w:style w:type="character" w:customStyle="1" w:styleId="None">
    <w:name w:val="None"/>
    <w:rsid w:val="006566AA"/>
  </w:style>
  <w:style w:type="paragraph" w:customStyle="1" w:styleId="BodyA">
    <w:name w:val="Body A"/>
    <w:rsid w:val="006566A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  <w:lang w:val="en-US" w:eastAsia="zh-CN"/>
    </w:rPr>
  </w:style>
  <w:style w:type="table" w:styleId="TableGrid">
    <w:name w:val="Table Grid"/>
    <w:basedOn w:val="TableNormal"/>
    <w:uiPriority w:val="39"/>
    <w:rsid w:val="00656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566AA"/>
  </w:style>
  <w:style w:type="paragraph" w:styleId="BalloonText">
    <w:name w:val="Balloon Text"/>
    <w:basedOn w:val="Normal"/>
    <w:link w:val="BalloonTextChar"/>
    <w:uiPriority w:val="99"/>
    <w:semiHidden/>
    <w:unhideWhenUsed/>
    <w:rsid w:val="00E52DA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DAF"/>
    <w:rPr>
      <w:rFonts w:ascii="Times New Roman" w:eastAsia="Times New Roman" w:hAnsi="Times New Roman" w:cs="Times New Roman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A9114F-58DF-4237-A067-6E225A0B5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254</Words>
  <Characters>1453</Characters>
  <Application>Microsoft Office Word</Application>
  <DocSecurity>4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DZNE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Daamen</dc:creator>
  <cp:keywords/>
  <dc:description/>
  <cp:lastModifiedBy>Li, Shumei /DZNE</cp:lastModifiedBy>
  <cp:revision>2</cp:revision>
  <cp:lastPrinted>2020-02-05T14:36:00Z</cp:lastPrinted>
  <dcterms:created xsi:type="dcterms:W3CDTF">2020-02-05T15:17:00Z</dcterms:created>
  <dcterms:modified xsi:type="dcterms:W3CDTF">2020-02-05T15:17:00Z</dcterms:modified>
</cp:coreProperties>
</file>